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2F" w:rsidRDefault="001F722F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10369"/>
        <w:gridCol w:w="220"/>
        <w:gridCol w:w="253"/>
      </w:tblGrid>
      <w:tr w:rsidR="001F722F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590315">
            <w:pPr>
              <w:pStyle w:val="10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1F722F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1F722F" w:rsidRDefault="00590315">
                  <w:pPr>
                    <w:pStyle w:val="10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оказания услуг учреждениями культуры</w:t>
                  </w:r>
                </w:p>
              </w:tc>
            </w:tr>
          </w:tbl>
          <w:p w:rsidR="001F722F" w:rsidRDefault="001F722F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22F" w:rsidRDefault="001F722F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22F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590315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590315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F722F" w:rsidRDefault="001F722F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F722F" w:rsidRDefault="001F722F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22F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590315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22F" w:rsidRDefault="001F722F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22F" w:rsidRDefault="001F722F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22F" w:rsidRDefault="00590315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1F722F" w:rsidRDefault="001F722F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1F722F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F722F" w:rsidRDefault="00590315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1F722F" w:rsidRDefault="00590315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1F722F" w:rsidRDefault="001F722F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59031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1F722F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722F" w:rsidRDefault="001F722F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F722F" w:rsidRDefault="001F722F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F722F" w:rsidRDefault="00590315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Барсукова</w:t>
                  </w:r>
                  <w:proofErr w:type="spellEnd"/>
                </w:p>
              </w:tc>
            </w:tr>
          </w:tbl>
          <w:p w:rsidR="001F722F" w:rsidRDefault="001F722F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2F" w:rsidRDefault="001F722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 оценки качества по организации социальной сферы, в отношении которой проведена независимая оценка качества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Чобщ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общее число опрошенных получателей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Пинф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информационных стендах в помещении организации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каждый дистанционный способ взаимодействия с получателями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Поткруд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К2 - Показатель, характеризующий критерий оценки качества «Комфортность условий предоставления услуг, в том числе время ожидания предоставления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услуг»*</w:t>
      </w:r>
      <w:proofErr w:type="gramEnd"/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комфортных условий предоставления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– количество баллов за каждое комфортное условие предоставления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комфортных условий предоставления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услуг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удовлетворенных комфортностью предоставления услуг организацией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Оборудование помещений организации социальной сферы и прилегающей к ней территории с учетом доступности для 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 организации для 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 организации для 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условий доступности, позволяющих инвалидам получать услуги наравне с другими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доступности, позволяющих инвалидам получать услуги наравне с другими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Пдостуд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доступностью услуг для 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Чинв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опрошенных получателей услуг-инвалидов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услуг-инвалидов, удовлетворенных доступностью услуг для инвалидов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Уорг.усл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организационными условиями предоставления услуг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1F722F" w:rsidRDefault="00590315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1F722F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учреждения культуры</w:t>
            </w:r>
          </w:p>
        </w:tc>
      </w:tr>
    </w:tbl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- 2023 год.</w:t>
      </w:r>
    </w:p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каждой организации, которая подлежала процедуре, на основе собранной, обобщенной и проанализированной информации рассчитан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итоговый показатель оценки качества организации.</w:t>
      </w:r>
    </w:p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аналогии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данными сайта bus.gov.ru.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1F722F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F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определения итогового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показателя 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рассчитаны следующие показатели оценки:</w:t>
      </w:r>
    </w:p>
    <w:p w:rsidR="001F722F" w:rsidRDefault="001F722F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</w:t>
      </w:r>
      <w:r w:rsidR="00D026C5">
        <w:rPr>
          <w:rFonts w:ascii="Times New Roman" w:eastAsia="Times New Roman" w:hAnsi="Times New Roman" w:cs="Times New Roman"/>
          <w:sz w:val="24"/>
          <w:szCs w:val="24"/>
        </w:rPr>
        <w:t>Открытость, Комфортность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Доступность услуг, Доброжелательность, Удовлетворенность. </w:t>
      </w:r>
    </w:p>
    <w:p w:rsidR="001F722F" w:rsidRDefault="001F722F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1F722F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1F722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1F722F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1F722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1F722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1F722F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F722F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1F722F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722F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722F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722F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88,97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72,21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50,69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91,79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95,48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79,83</w:t>
            </w:r>
          </w:p>
        </w:tc>
      </w:tr>
      <w:tr w:rsidR="001F722F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91,34</w:t>
            </w:r>
          </w:p>
        </w:tc>
      </w:tr>
      <w:tr w:rsidR="001F722F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63,12</w:t>
            </w:r>
          </w:p>
        </w:tc>
      </w:tr>
      <w:tr w:rsidR="001F722F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28,22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1F722F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1F722F" w:rsidTr="00D026C5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1F722F" w:rsidTr="00D026C5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МКУК 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</w:tbl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ОБОБЩЕННЫЕ ВЫВОДЫ И РЕКОМЕНДАЦИИ ПО РЕЗУЛЬТАТАМ СБОРА, ОБОБЩЕНИЯ И АНАЛИЗА ИНФОРМАЦИИ</w:t>
      </w:r>
    </w:p>
    <w:p w:rsidR="001F722F" w:rsidRDefault="001F722F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1F722F" w:rsidRDefault="001F722F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020"/>
      </w:tblGrid>
      <w:tr w:rsidR="001F722F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МБУ ДО "ДХШ №1"; МБУ ДО "ДМШ №5"; МБУ ДО ДШИ "Созвездие";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"Музейно-выставочный центр "Микула";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</w:tc>
      </w:tr>
      <w:tr w:rsidR="001F722F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№1"; МБУ ДО "ДХШ №2";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13";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 ДО "ДШИ имени Д.Д. Шостаковича";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ЦК и Д "Молодежный";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"Ансамбль народной песни "Любава"; МБУК ОДЦ "Орленок";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МБУ ДО "ДХШ №2";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13";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 ДО "ДШИ имени Д.Д. Шостаковича";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МБУК ЦК и Д "Молодежный";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"Ансамбль народной песни "Любава"; МБУК ОДЦ "Орленок";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"Парк Швейцария"; МАУК "Дирекция парков и скверов города Нижнего Новгорода";</w:t>
            </w:r>
          </w:p>
        </w:tc>
      </w:tr>
      <w:tr w:rsidR="001F722F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№2";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13";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 ДО "ДШИ имени Д.Д. Шостаковича"; МБУ ДО ДШИ "Созвездие";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"Ансамбль народной песни "Любава"; МБУК ОДЦ "Орленок";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МБУ ДО "ДМШ № 12 им. П.И. Чайковского"; МБУ ДО ДШИ "Созвездие"; МБУК Камерный оркестр "Солисты Нижнего Новгорода";</w:t>
            </w:r>
          </w:p>
        </w:tc>
      </w:tr>
    </w:tbl>
    <w:p w:rsidR="001F722F" w:rsidRDefault="001F722F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другими.*</w:t>
      </w:r>
      <w:proofErr w:type="gramEnd"/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140"/>
      </w:tblGrid>
      <w:tr w:rsidR="001F722F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 ДО "ДШИ имени Д.Д. Шостаковича"; МБУ ДО "ДХШ "Жаворонок";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ЦК и Д "Молодежный";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Камерный хор "Нижний Новгород"; МБУК "Ансамбль народной песни "Любава"; МБУК ОДЦ "Орленок";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Автозаводского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Советского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МКУК ЦГДБ им. А.М. Горького;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"Музейно-выставочный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"Ансамбль народной песни "Любава"; МБУК ОДЦ "Орленок";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№1"; МБУ ДО "ДХШ №2"; МБУ ДО "ДМШ № 2";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"Надежда";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"Ансамбль народной песни "Любава"; МБУК ОДЦ "Орленок";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Автозаводского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Ленинского района;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Советского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МКУК ЦГДБ им. А.М. Горького;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1";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"Музейно-выставочный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МБУК ЦК и Д "Молодежный"; МБУК ОДЦ "Надежда";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Камерный хор "Нижний Новгород"; МБУК "Ансамбль народной песни "Любава"; МБУК ОДЦ "Орленок";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Вера"; МБУК "Нижегородский театр комедии";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  <w:tr w:rsidR="001F722F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Автозаводского района;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№1"; МБУ ДО "ДХШ №2"; МБУ ДО "ДХШ № 3"; МБУ ДО "ДМШ № 2";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МБУК "Музейно-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"Ансамбль народной песни "Любава"; МБУК ОДЦ "Орленок";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"Нижегородский театр комедии"; МАУК "Дирекция по проведению культурно-массовых мероприятий города Нижнего Новгорода"; МАУК "Дирекция парков и скверов города Нижнего Новгорода";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125"/>
      </w:tblGrid>
      <w:tr w:rsidR="001F722F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Автозаводского района;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Советского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1";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"Музейно-выставочный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МБУК ЦК и Д "Молодежный";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Камерный хор "Нижний Новгород"; МБУК "Ансамбль народной песни "Любава"; МБУК ОДЦ "Орленок";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"Театр музыкально-пластической драмы "Преображение";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Вера"; МБУК "Нижегородский театр комедии"; МАУК "Дирекция по проведению культурно-массовых мероприятий города Нижнего Новгорода"; МАУК "Парк Швейцария"; МАУК "Дирекция парков и скверов города Нижнего Новгорода";</w:t>
            </w:r>
          </w:p>
        </w:tc>
      </w:tr>
      <w:tr w:rsidR="001F722F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Автозаводского района;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Советского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1";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"Музейно-выставочный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МБУК ОДЦ "Надежда";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Камерный хор "Нижний Новгород"; МБУК "Ансамбль народной песни "Любава"; МБУК ОДЦ "Орленок";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Вера"; МБУК "Нижегородский театр комедии"; МАУК "Дирекция по проведению культурно-массовых мероприятий города Нижнего Новгорода"; МАУК "Парк Швейцария"; МАУК "Дирекция парков и скверов города Нижнего Новгорода";</w:t>
            </w:r>
          </w:p>
        </w:tc>
      </w:tr>
      <w:tr w:rsidR="001F722F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требуется обеспечить условия: МКУК ЦБС Автозаводского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Ленинского района; МКУК ЦБС Московского района; МКУК ЦБС Нижегородского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ЦБС Советского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МКУК ЦГБ им. В.И. Ленина; МКУК ЦГДБ им. А.М. Горького; МБУ ДО "ДХШ №1"; МБУ ДО "ДХШ №2"; МБУ ДО "ДХШ № 3"; МБУ ДО "ДМШ № 2"; МБУ ДО "ДМШ № 3"; МБУ ДО "ДМШ №5"; 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"ДМШ № 12 им. П.И. Чайковского"; МБУ ДО "ДМШ № 13";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1"; МБУ ДО "ДШИ №4"; 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№7"; 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"ДШИ имени Д.Д. Шостаковича";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"Музейно-выставочный центр "Микула"; МБУК "Государственный литературно-мемориальный музей Н.А. Добролюбова"; МАУК "Нижегородский городской музей техники и оборонной промышленности"; МАУК АЭМЗ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хутор"; МБУК "Государственный музей А.М. Горького"; МБУК ОДЦ "Смена"; МБУК ЦК и Д "Молодежный"; МБУК ОДЦ "Надежда"; МАУК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МБУК Камерный оркестр "Солисты Нижнего Новгорода"; МБУК Камерный хор "Нижний Новгород"; МБУК "Ансамбль народной песни "Любава"; МБУК ОДЦ "Орленок";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"Театр музыкально-пластической драмы "Преображение"; 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Вера"; МБУК "Нижегородский театр комедии"; МАУК "Дирекция по проведению культурно-массовых мероприятий города Нижнего Новгорода"; МАУК "Парк Швейцария"; МАУК "Дирекция парков и скверов города Нижнего Новгорода";</w:t>
            </w:r>
          </w:p>
        </w:tc>
      </w:tr>
      <w:tr w:rsidR="001F722F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МБУ ДО "ДМШ № 2"; МБУ ДО "ДМШ № 3"; МБУ ДО "ДМШ №5";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№4"; МБУ ДО "ДШИ №7"; МБУ ДО ДШИ "Созвездие";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ОДЦ "Смена"; МБУК ЦК и Д "Молодежный"; МБУК ОДЦ "Надежда"; МБУК "Театр музыкально-пластической драмы "Преображение"; МБУК "Нижегородский театр комедии";</w:t>
            </w:r>
          </w:p>
        </w:tc>
      </w:tr>
      <w:tr w:rsidR="001F722F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ЦБС Ленинского района; МКУК ЦБС Советского района;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МБУ ДО "ДХШ №1"; МБУ ДО "ДХШ № 3"; МБУ ДО "ДМШ № 2"; МБУ ДО "ДМШ № 3"; МБУ ДО "ДМШ №5"; МБУ ДО "ДМШ № 12 им. П.И. Чайковского"; МБУ ДО "ДМШ № 15";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"ДШИ № 1"; МБУ ДО "ДШИ №4"; МБУ ДО "ДШИ №7"; МБУ ДО "ДШИ №14"; 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Хачатуряна»;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"Музейно-выставочный центр "Микула"; МБУК ОДЦ "Смена"; МБУК ЦК и Д "Молодежный"; МБУК Камерный оркестр "Солисты Нижнего Новгорода"; МБУК Камерный хор "Нижний Новгород";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музыкально-пластической драмы "Преображение"; МБУК "Нижегородский театр комедии"; МАУК "Парк Швейцария";</w:t>
            </w:r>
          </w:p>
        </w:tc>
      </w:tr>
      <w:tr w:rsidR="001F722F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МКУК ЦГБ им. В.И. Ленина; МБУ ДО "ДХШ №1"; МБУ ДО "ДХШ № 3"; МБУ ДО "ДМШ № 3"; МБУ ДО "ДМШ №5"; МБУ ДО "ДМШ №16"; 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 ДО "ДШИ №4"; МБУ ДО "ДШИ №7"; МБУ ДО "ДШИ №14"; МБУ ДО ДШИ "Созвездие"; МБУ ДО "ДХШ "Жаворонок"; МКУК "Музей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МБУК ОДЦ "Смена"; МБУК ЦК и Д "Молодежный"; МБУК ОДЦ "Надежда"; 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МБУК "Театр музыкально-пластической драмы "Преображение"; МБУК "Театр Вера"; МБУК "Нижегородский театр комедии"; МАУК "Парк Швейцария";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1F722F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Минкультуры России от 20.02.2015 N277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организации культуры обязаны обеспечить наличие общей информации об организации культуры на официальном сайте организации культуры, а также информацию о деятельности в сети "Интернет"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37187).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3510"/>
      </w:tblGrid>
      <w:tr w:rsidR="001F722F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оказываемых платных услуг (при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предоставления услуг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1F722F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размещению на стенде информации: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1F722F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Место нахождения организации культуры и ее филиалов (при наличии)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- телефоны, адреса сайтов структурных подразделений (при наличии), адреса электронной почты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Режим, график работы организации культуры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Виды предоставляемых услуг организацией культуры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Перечень оказываемых платных услуг (при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наличии)*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планируемых мероприятиях (анонсы, афиши, акции), новости, события</w:t>
            </w:r>
          </w:p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информация размещена в соответствии с утвержденным перечнем.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1F722F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25059</w:t>
            </w:r>
          </w:p>
        </w:tc>
      </w:tr>
      <w:tr w:rsidR="001F722F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17516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17026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16966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23935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24051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19329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23671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23609</w:t>
            </w:r>
          </w:p>
        </w:tc>
      </w:tr>
      <w:tr w:rsidR="001F722F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24011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1F722F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68,92%</w:t>
            </w:r>
          </w:p>
        </w:tc>
      </w:tr>
      <w:tr w:rsidR="001F722F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67,70%</w:t>
            </w:r>
          </w:p>
        </w:tc>
      </w:tr>
      <w:tr w:rsidR="001F722F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87,76%</w:t>
            </w:r>
          </w:p>
        </w:tc>
      </w:tr>
      <w:tr w:rsidR="001F722F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95,51%</w:t>
            </w:r>
          </w:p>
        </w:tc>
      </w:tr>
      <w:tr w:rsidR="001F722F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95,98%</w:t>
            </w:r>
          </w:p>
        </w:tc>
      </w:tr>
      <w:tr w:rsidR="001F722F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77,13%</w:t>
            </w:r>
          </w:p>
        </w:tc>
      </w:tr>
      <w:tr w:rsidR="001F722F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94,46%</w:t>
            </w:r>
          </w:p>
        </w:tc>
      </w:tr>
      <w:tr w:rsidR="001F722F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94,21%</w:t>
            </w:r>
          </w:p>
        </w:tc>
      </w:tr>
      <w:tr w:rsidR="001F722F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95,82%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ИНФОРМАЦИЯ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1F722F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- 55. Среднее значение - 79,83. Максимальное значение (в баллах) - 91,34. Минимальное значение - 63,12.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995"/>
        <w:gridCol w:w="1065"/>
      </w:tblGrid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ЦГДБ им. А.М. Горького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"ДШИ № 1"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 15"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Камерный хор "Нижний Новгород"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МКУК 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«ДШИ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Хачатуряна»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 2"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"ДХШ № 3"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85,16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"Музейно-выставочный центр "Микула"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ОДЦ "Надежда"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№16"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"Театр Вера"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 12 им. П.И. Чайковского"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ЦБС Советского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83,30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ЦБС Автозаводского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"ДШИ №14"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ЦК и Д "Молодежный"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 3"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МАУК "Парк Швейцария"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"ДХШ "Жаворонок"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81,96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Камерный оркестр "Солисты Нижнего Новгорода"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"ДМШ №17 им.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Цфасмана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МКУК "Музей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А.Д.Сахарова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"ДШИ имени Д.Д. Шостаковича"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 13"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"ДХШ №2"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"Нижегородский театр комедии"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"Государственный музей А.М. Горького"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"ДШИ №4"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ЦГБ им. В.И. Ленина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ЦБС Ленинского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МКУК 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Сормовского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79,46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ОДЦ "Смена"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"ДШИ № 9 им. А.Д.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"ДШИ № 8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В.Ю.Виллуана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78,90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"ДШИ №7"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78,74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"ДХШ №1"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78,18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ЦБС Нижегородского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МАУК АЭМЗ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Щелоковский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хутор"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"Государственный литературно-мемориальный музей Н.А. Добролюбова"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МАУК "Нижегородский городской музей техники и оборонной промышленности"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77,44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"Ансамбль народной песни "Любава"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ДШИ "Созвездие"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МАУК ДК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им.Орджоникидзе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ЦБС Московского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75,86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"ДМШ №5"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74,72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"ДМШ 11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Б.А.Мокроусова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74,62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МАУК "Нижегородский планетарий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Г.М.Гречко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74,28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"Театр музыкально-пластической драмы "Преображение"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73,40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ОДЦ "Орленок"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73,38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МКУК 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Приокского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70,64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 ДО "ДШИ №6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А.А.Касьянова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69,58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МАУК "Дирекция парков и скверов города Нижнего Новгорода"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МБУК "Нижегородский Камерный театр оперы и музыкальной комедии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В.Т.Степанова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67,72</w:t>
            </w:r>
          </w:p>
        </w:tc>
      </w:tr>
      <w:tr w:rsidR="001F722F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МАУК "Дирекция по проведению культурно-массовых мероприятий города Нижнего Новгорода"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63,12</w:t>
            </w:r>
          </w:p>
        </w:tc>
      </w:tr>
    </w:tbl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1F722F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- 55. Среднее значение - 79,83. Максимальное значение (в баллах) - 91,34. Минимальное значение - 63,12.</w:t>
            </w:r>
          </w:p>
        </w:tc>
      </w:tr>
    </w:tbl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:rsidR="001F722F" w:rsidRDefault="001F722F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1F722F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альтернативной версии сайта организации для инвалидов по зрению; возможность предоставления услуг в дистанционном режиме или на дому;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1F722F" w:rsidRDefault="001F722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обратить внимание и принять меры в отношении следующих показателей независимой оценки качества условий оказания услуг:</w:t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1F722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комфортных условий, в которых осуществляется деятельность: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и понятность навигации внутри организации;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комфортных условий, в которых осуществляется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деятельность:санитарное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 помещений организации;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ИНДИВИДУАЛЬНЫЕ РЕЗУЛЬТАТЫ. ОРГАНИЗАЦИЯ: МКУК ЦБС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Канавинского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- 86; Численность обучающихся - 29210;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- 1019; Доля респондентов - 0,03; К1 - 80,8;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- 540; - 531; К2 - 78,5;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- 579;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- 57; К3 - 84,1;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- 27; К4 - 91,4;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- 972;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- 781; К5 - 95,2;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- 976; Пуд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- 976; Пуд - 96. Сокращения и пояснения приведены на странице 2.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1F722F" w:rsidRDefault="005903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1F722F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F722F" w:rsidRDefault="0059031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1F722F" w:rsidRDefault="001F722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F722F" w:rsidSect="001F722F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AC" w:rsidRDefault="00AF56AC" w:rsidP="001F722F">
      <w:pPr>
        <w:spacing w:line="240" w:lineRule="auto"/>
      </w:pPr>
      <w:r>
        <w:separator/>
      </w:r>
    </w:p>
  </w:endnote>
  <w:endnote w:type="continuationSeparator" w:id="0">
    <w:p w:rsidR="00AF56AC" w:rsidRDefault="00AF56AC" w:rsidP="001F7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C5" w:rsidRDefault="00D026C5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026C5" w:rsidRDefault="00D026C5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026C5" w:rsidRDefault="00D026C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AC" w:rsidRDefault="00AF56AC" w:rsidP="001F722F">
      <w:pPr>
        <w:spacing w:line="240" w:lineRule="auto"/>
      </w:pPr>
      <w:r>
        <w:separator/>
      </w:r>
    </w:p>
  </w:footnote>
  <w:footnote w:type="continuationSeparator" w:id="0">
    <w:p w:rsidR="00AF56AC" w:rsidRDefault="00AF56AC" w:rsidP="001F7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C5" w:rsidRDefault="00D026C5">
    <w:pPr>
      <w:pStyle w:val="10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</w:t>
    </w:r>
    <w:proofErr w:type="gramStart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>РЕЗУЛЬТАТАХ  сбора</w:t>
    </w:r>
    <w:proofErr w:type="gramEnd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, обобщения и анализа информации о качестве условий оказания услуг организациями </w:t>
    </w:r>
  </w:p>
  <w:p w:rsidR="00D026C5" w:rsidRDefault="00D026C5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F16EB"/>
    <w:multiLevelType w:val="multilevel"/>
    <w:tmpl w:val="ECF61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22F"/>
    <w:rsid w:val="001C594E"/>
    <w:rsid w:val="001F722F"/>
    <w:rsid w:val="002F584C"/>
    <w:rsid w:val="00590315"/>
    <w:rsid w:val="00AF56AC"/>
    <w:rsid w:val="00D0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6361-B04A-4D67-B764-B46A2B9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F72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F72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F72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F72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F722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F72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722F"/>
  </w:style>
  <w:style w:type="table" w:customStyle="1" w:styleId="TableNormal">
    <w:name w:val="Table Normal"/>
    <w:rsid w:val="001F7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722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F72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1F72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2F5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2F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7861</Words>
  <Characters>44810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Вход</cp:lastModifiedBy>
  <cp:revision>3</cp:revision>
  <dcterms:created xsi:type="dcterms:W3CDTF">2023-10-23T18:07:00Z</dcterms:created>
  <dcterms:modified xsi:type="dcterms:W3CDTF">2024-01-26T13:31:00Z</dcterms:modified>
</cp:coreProperties>
</file>